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</w:p>
          <w:p w:rsidR="00445794" w:rsidRPr="00445794" w:rsidRDefault="002B3E09" w:rsidP="00143254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FC4802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год и плановый период 20</w:t>
      </w:r>
      <w:r w:rsidR="00FC4802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</w:t>
      </w:r>
      <w:r w:rsidR="00FC4802">
        <w:rPr>
          <w:color w:val="332E2D"/>
          <w:spacing w:val="2"/>
          <w:sz w:val="28"/>
          <w:szCs w:val="28"/>
        </w:rPr>
        <w:t>1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A1311E" w:rsidP="008E05C2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="008E05C2">
              <w:rPr>
                <w:color w:val="332E2D"/>
                <w:spacing w:val="2"/>
                <w:sz w:val="28"/>
                <w:szCs w:val="28"/>
              </w:rPr>
              <w:t>0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>
              <w:rPr>
                <w:color w:val="332E2D"/>
                <w:spacing w:val="2"/>
                <w:sz w:val="28"/>
                <w:szCs w:val="28"/>
              </w:rPr>
              <w:t>1</w:t>
            </w:r>
            <w:r w:rsidR="008E05C2">
              <w:rPr>
                <w:color w:val="332E2D"/>
                <w:spacing w:val="2"/>
                <w:sz w:val="28"/>
                <w:szCs w:val="28"/>
              </w:rPr>
              <w:t>1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045470">
              <w:rPr>
                <w:color w:val="332E2D"/>
                <w:spacing w:val="2"/>
                <w:sz w:val="28"/>
                <w:szCs w:val="28"/>
              </w:rPr>
              <w:t>9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0CF6">
              <w:rPr>
                <w:rFonts w:eastAsiaTheme="minorHAnsi"/>
                <w:lang w:eastAsia="en-US"/>
              </w:rPr>
              <w:t>181644,44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8622,16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17084,05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7040,65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1155,67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1739,92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957" w:tblpY="102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50"/>
        <w:gridCol w:w="1134"/>
        <w:gridCol w:w="1418"/>
        <w:gridCol w:w="1843"/>
        <w:gridCol w:w="1701"/>
        <w:gridCol w:w="1559"/>
        <w:gridCol w:w="992"/>
        <w:gridCol w:w="992"/>
        <w:gridCol w:w="1276"/>
        <w:gridCol w:w="851"/>
      </w:tblGrid>
      <w:tr w:rsidR="00D031C8" w:rsidTr="00CA17B8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A17B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05C2" w:rsidP="00AF0F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40037</w:t>
            </w:r>
            <w:r w:rsidR="008E5091">
              <w:rPr>
                <w:rFonts w:eastAsiaTheme="minorHAnsi"/>
                <w:lang w:eastAsia="en-US"/>
              </w:rPr>
              <w:t>900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8E05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8E05C2">
              <w:rPr>
                <w:rFonts w:eastAsiaTheme="minorHAnsi"/>
                <w:lang w:eastAsia="en-US"/>
              </w:rPr>
              <w:t>713</w:t>
            </w:r>
            <w:r w:rsidR="00AF0F17">
              <w:rPr>
                <w:rFonts w:eastAsiaTheme="minorHAnsi"/>
                <w:lang w:eastAsia="en-US"/>
              </w:rPr>
              <w:t>2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7975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7975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8E05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8E05C2">
              <w:rPr>
                <w:rFonts w:eastAsiaTheme="minorHAnsi"/>
                <w:lang w:eastAsia="en-US"/>
              </w:rPr>
              <w:t>52</w:t>
            </w:r>
            <w:r>
              <w:rPr>
                <w:rFonts w:eastAsiaTheme="minorHAnsi"/>
                <w:lang w:eastAsia="en-US"/>
              </w:rPr>
              <w:t>63900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</w:t>
            </w:r>
            <w:r w:rsidR="00FC480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05C2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  <w:r w:rsidR="00AF0F17">
              <w:rPr>
                <w:rFonts w:eastAsiaTheme="minorHAnsi"/>
                <w:lang w:eastAsia="en-US"/>
              </w:rPr>
              <w:t>54200,00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штрафов, </w:t>
            </w:r>
            <w:r>
              <w:rPr>
                <w:rFonts w:eastAsiaTheme="minorHAnsi"/>
                <w:lang w:eastAsia="en-US"/>
              </w:rPr>
              <w:lastRenderedPageBreak/>
              <w:t>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880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880CF7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7940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9405F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безвозмездные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посту</w:t>
            </w:r>
            <w:r w:rsidR="00791CC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пления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наднаци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ональных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организаций, правительств </w:t>
            </w:r>
            <w:proofErr w:type="spellStart"/>
            <w:r>
              <w:rPr>
                <w:rFonts w:eastAsiaTheme="minorHAnsi"/>
                <w:lang w:eastAsia="en-US"/>
              </w:rPr>
              <w:t>ино</w:t>
            </w:r>
            <w:proofErr w:type="spellEnd"/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странных государств, международных фи</w:t>
            </w:r>
            <w:r w:rsidR="00791CC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нансовых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8E05C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пожертвования от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8E05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E05C2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05C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05C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C251D8" w:rsidP="00AF0F1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40037</w:t>
            </w:r>
            <w:r w:rsidR="008E5091" w:rsidRPr="00127D53">
              <w:rPr>
                <w:rFonts w:eastAsiaTheme="minorHAnsi"/>
                <w:b/>
                <w:lang w:eastAsia="en-US"/>
              </w:rPr>
              <w:t>900</w:t>
            </w:r>
            <w:r w:rsidR="00FC4802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28809700</w:t>
            </w:r>
            <w:r w:rsidR="00FC4802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35</w:t>
            </w:r>
            <w:r w:rsidR="00284EA5" w:rsidRPr="00127D53">
              <w:rPr>
                <w:rFonts w:eastAsiaTheme="minorHAnsi"/>
                <w:b/>
                <w:lang w:eastAsia="en-US"/>
              </w:rPr>
              <w:t>1</w:t>
            </w:r>
            <w:r w:rsidRPr="00127D53">
              <w:rPr>
                <w:rFonts w:eastAsiaTheme="minorHAnsi"/>
                <w:b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C251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7</w:t>
            </w:r>
            <w:r w:rsidR="00C251D8">
              <w:rPr>
                <w:rFonts w:eastAsiaTheme="minorHAnsi"/>
                <w:b/>
                <w:lang w:eastAsia="en-US"/>
              </w:rPr>
              <w:t>713</w:t>
            </w:r>
            <w:r w:rsidR="00AF0F17" w:rsidRPr="00127D53">
              <w:rPr>
                <w:rFonts w:eastAsiaTheme="minorHAnsi"/>
                <w:b/>
                <w:lang w:eastAsia="en-US"/>
              </w:rPr>
              <w:t>2</w:t>
            </w:r>
            <w:r w:rsidR="007F37D1" w:rsidRPr="00127D5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1B294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24059500</w:t>
            </w:r>
            <w:r w:rsidR="00E86A8A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23804700</w:t>
            </w:r>
            <w:r w:rsidR="00FC4802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D3FBC" w:rsidP="001B294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</w:t>
            </w:r>
            <w:r w:rsidR="001B2948" w:rsidRPr="00127D53">
              <w:rPr>
                <w:rFonts w:eastAsiaTheme="minorHAnsi"/>
                <w:b/>
                <w:lang w:eastAsia="en-US"/>
              </w:rPr>
              <w:t>5</w:t>
            </w:r>
            <w:r w:rsidR="00880CF7" w:rsidRPr="00127D53">
              <w:rPr>
                <w:rFonts w:eastAsiaTheme="minorHAnsi"/>
                <w:b/>
                <w:lang w:eastAsia="en-US"/>
              </w:rPr>
              <w:t>4</w:t>
            </w:r>
            <w:r w:rsidRPr="00127D53">
              <w:rPr>
                <w:rFonts w:eastAsiaTheme="minorHAnsi"/>
                <w:b/>
                <w:lang w:eastAsia="en-US"/>
              </w:rPr>
              <w:t>8</w:t>
            </w:r>
            <w:r w:rsidR="00E86A8A" w:rsidRPr="00127D5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начис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ления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880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18343200</w:t>
            </w:r>
            <w:r w:rsidR="00E86A8A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880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18243200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405F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F" w:rsidRPr="007F37D1" w:rsidRDefault="00880CF7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выплаты за первые три дня по листку нетрудоспособности за </w:t>
            </w:r>
            <w:r>
              <w:rPr>
                <w:rFonts w:eastAsiaTheme="minorHAnsi"/>
                <w:lang w:eastAsia="en-US"/>
              </w:rPr>
              <w:lastRenderedPageBreak/>
              <w:t>счет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880CF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880CF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F" w:rsidRDefault="0079405F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иные выпла</w:t>
            </w:r>
            <w:r w:rsidR="00F724FF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 xml:space="preserve">ы </w:t>
            </w:r>
            <w:proofErr w:type="gramStart"/>
            <w:r w:rsidRPr="007F37D1">
              <w:rPr>
                <w:rFonts w:eastAsiaTheme="minorHAnsi"/>
                <w:lang w:eastAsia="en-US"/>
              </w:rPr>
              <w:t>персона</w:t>
            </w:r>
            <w:r w:rsidR="00DD3FBC">
              <w:rPr>
                <w:rFonts w:eastAsiaTheme="minorHAnsi"/>
                <w:lang w:eastAsia="en-US"/>
              </w:rPr>
              <w:t>-</w:t>
            </w:r>
            <w:proofErr w:type="spellStart"/>
            <w:r w:rsidRPr="007F37D1">
              <w:rPr>
                <w:rFonts w:eastAsiaTheme="minorHAnsi"/>
                <w:lang w:eastAsia="en-US"/>
              </w:rPr>
              <w:t>лу</w:t>
            </w:r>
            <w:proofErr w:type="spellEnd"/>
            <w:proofErr w:type="gramEnd"/>
            <w:r w:rsidRPr="007F37D1">
              <w:rPr>
                <w:rFonts w:eastAsiaTheme="minorHAnsi"/>
                <w:lang w:eastAsia="en-US"/>
              </w:rPr>
              <w:t>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31800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346855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318</w:t>
            </w:r>
            <w:r w:rsidR="007F37D1" w:rsidRPr="00346855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D3FBC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C" w:rsidRPr="007F37D1" w:rsidRDefault="00880CF7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командировочные </w:t>
            </w:r>
            <w:proofErr w:type="gramStart"/>
            <w:r>
              <w:rPr>
                <w:rFonts w:eastAsiaTheme="minorHAnsi"/>
                <w:lang w:eastAsia="en-US"/>
              </w:rPr>
              <w:t>рас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ходы</w:t>
            </w:r>
            <w:proofErr w:type="gramEnd"/>
            <w:r>
              <w:rPr>
                <w:rFonts w:eastAsiaTheme="minorHAnsi"/>
                <w:lang w:eastAsia="en-US"/>
              </w:rPr>
              <w:t>: проезд, проживание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880CF7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78200</w:t>
            </w:r>
            <w:r w:rsidR="00DD3FBC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C" w:rsidRDefault="00DD3FBC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78200</w:t>
            </w:r>
            <w:r w:rsidR="00DD3FBC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80CF7" w:rsidP="00880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5013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80CF7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E5091" w:rsidP="001B2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5566300</w:t>
            </w:r>
            <w:r w:rsidR="00E86A8A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5521500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1B294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  <w:r w:rsidR="00DD3FBC">
              <w:rPr>
                <w:rFonts w:eastAsiaTheme="minorHAnsi"/>
                <w:lang w:eastAsia="en-US"/>
              </w:rPr>
              <w:t>8</w:t>
            </w:r>
            <w:r w:rsidR="00E86A8A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</w:t>
            </w:r>
            <w:r w:rsidR="008F0688" w:rsidRPr="00127D53">
              <w:rPr>
                <w:rFonts w:eastAsiaTheme="minorHAnsi"/>
                <w:b/>
                <w:lang w:eastAsia="en-US"/>
              </w:rPr>
              <w:t>9</w:t>
            </w:r>
            <w:r w:rsidRPr="00127D53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541628,86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367365,95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174262,91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545A6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165,95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545A6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165,95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D34019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7545A6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AE5C83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7545A6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B3C0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3C01">
              <w:rPr>
                <w:rFonts w:eastAsiaTheme="minorHAnsi"/>
                <w:lang w:eastAsia="en-US"/>
              </w:rPr>
              <w:t>уплата  госпошлины, пени, неустойки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154262,91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8E5091" w:rsidP="00AE5C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154262,91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прочие расходы (кроме </w:t>
            </w:r>
            <w:r>
              <w:rPr>
                <w:rFonts w:eastAsiaTheme="minorHAnsi"/>
                <w:lang w:eastAsia="en-US"/>
              </w:rPr>
              <w:lastRenderedPageBreak/>
              <w:t>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127D53" w:rsidP="00C251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C251D8">
              <w:rPr>
                <w:rFonts w:eastAsiaTheme="minorHAnsi"/>
                <w:b/>
                <w:lang w:eastAsia="en-US"/>
              </w:rPr>
              <w:t>5436</w:t>
            </w:r>
            <w:r>
              <w:rPr>
                <w:rFonts w:eastAsiaTheme="minorHAnsi"/>
                <w:b/>
                <w:lang w:eastAsia="en-US"/>
              </w:rPr>
              <w:t>771,14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4637634,05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965B1E" w:rsidP="00284EA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35</w:t>
            </w:r>
            <w:r w:rsidR="00284EA5" w:rsidRPr="00127D53">
              <w:rPr>
                <w:rFonts w:eastAsiaTheme="minorHAnsi"/>
                <w:b/>
                <w:lang w:eastAsia="en-US"/>
              </w:rPr>
              <w:t>1</w:t>
            </w:r>
            <w:r w:rsidRPr="00127D53">
              <w:rPr>
                <w:rFonts w:eastAsiaTheme="minorHAnsi"/>
                <w:b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C251D8" w:rsidP="001B294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7284</w:t>
            </w:r>
            <w:r w:rsidR="00127D53" w:rsidRPr="00127D53">
              <w:rPr>
                <w:rFonts w:eastAsiaTheme="minorHAnsi"/>
                <w:b/>
                <w:lang w:eastAsia="en-US"/>
              </w:rPr>
              <w:t>137,09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40037900,00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7713200,00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40037900,00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7713200,00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40037900,00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7713200,00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40037900,00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28809700,00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  <w:r w:rsidR="00284EA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F58FA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7713200,00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</w:t>
      </w:r>
      <w:r w:rsidR="00C61903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</w:t>
      </w:r>
      <w:r w:rsidR="00C61903">
        <w:rPr>
          <w:rFonts w:eastAsiaTheme="minorHAnsi"/>
          <w:sz w:val="28"/>
          <w:szCs w:val="28"/>
          <w:lang w:eastAsia="en-US"/>
        </w:rPr>
        <w:t>1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1418"/>
        <w:gridCol w:w="1275"/>
        <w:gridCol w:w="1276"/>
        <w:gridCol w:w="1418"/>
        <w:gridCol w:w="1417"/>
        <w:gridCol w:w="1418"/>
        <w:gridCol w:w="1275"/>
        <w:gridCol w:w="1276"/>
        <w:gridCol w:w="1276"/>
      </w:tblGrid>
      <w:tr w:rsidR="003367B7" w:rsidTr="00965B1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F58FA" w:rsidP="00560F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15436771,14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F58FA" w:rsidP="00560F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F58FA">
              <w:rPr>
                <w:rFonts w:eastAsiaTheme="minorHAnsi"/>
                <w:lang w:eastAsia="en-US"/>
              </w:rPr>
              <w:t>15436771,14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</w:t>
            </w:r>
            <w:r>
              <w:rPr>
                <w:rFonts w:eastAsiaTheme="minorHAnsi"/>
                <w:lang w:eastAsia="en-US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175A6A" w:rsidP="003F58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3F58FA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9</w:t>
            </w:r>
            <w:r w:rsidR="003F58FA">
              <w:rPr>
                <w:rFonts w:eastAsiaTheme="minorHAnsi"/>
                <w:lang w:eastAsia="en-US"/>
              </w:rPr>
              <w:t>31</w:t>
            </w:r>
            <w:r>
              <w:rPr>
                <w:rFonts w:eastAsiaTheme="minorHAnsi"/>
                <w:lang w:eastAsia="en-US"/>
              </w:rPr>
              <w:t>400,14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175A6A" w:rsidP="003F58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3F58FA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9</w:t>
            </w:r>
            <w:r w:rsidR="003F58FA">
              <w:rPr>
                <w:rFonts w:eastAsiaTheme="minorHAnsi"/>
                <w:lang w:eastAsia="en-US"/>
              </w:rPr>
              <w:t>31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400,14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3"/>
        <w:gridCol w:w="2587"/>
        <w:gridCol w:w="517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  <w:gridCol w:w="1352"/>
        <w:gridCol w:w="3140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91CC2">
              <w:rPr>
                <w:rFonts w:eastAsiaTheme="minorHAnsi"/>
                <w:sz w:val="28"/>
                <w:szCs w:val="28"/>
                <w:lang w:eastAsia="en-US"/>
              </w:rPr>
              <w:t>Ковтунова</w:t>
            </w:r>
            <w:proofErr w:type="spellEnd"/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91CC2">
      <w:pgSz w:w="16838" w:h="11906" w:orient="landscape"/>
      <w:pgMar w:top="709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5470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C01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497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53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254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41F6"/>
    <w:rsid w:val="00175277"/>
    <w:rsid w:val="00175427"/>
    <w:rsid w:val="001756F7"/>
    <w:rsid w:val="001757E0"/>
    <w:rsid w:val="00175A6A"/>
    <w:rsid w:val="00176502"/>
    <w:rsid w:val="00177103"/>
    <w:rsid w:val="001804ED"/>
    <w:rsid w:val="00180CF6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39C9"/>
    <w:rsid w:val="001A425B"/>
    <w:rsid w:val="001A5029"/>
    <w:rsid w:val="001A6E2C"/>
    <w:rsid w:val="001B0AB1"/>
    <w:rsid w:val="001B2948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EA5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6855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68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418"/>
    <w:rsid w:val="003E671D"/>
    <w:rsid w:val="003E6E11"/>
    <w:rsid w:val="003E7865"/>
    <w:rsid w:val="003F1E98"/>
    <w:rsid w:val="003F2535"/>
    <w:rsid w:val="003F35A7"/>
    <w:rsid w:val="003F3DBA"/>
    <w:rsid w:val="003F536E"/>
    <w:rsid w:val="003F58FA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4166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0D9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0F1C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13A"/>
    <w:rsid w:val="0075029C"/>
    <w:rsid w:val="007526BC"/>
    <w:rsid w:val="007535B3"/>
    <w:rsid w:val="00753C8C"/>
    <w:rsid w:val="007545A6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05C"/>
    <w:rsid w:val="00783F0A"/>
    <w:rsid w:val="00784459"/>
    <w:rsid w:val="00784E72"/>
    <w:rsid w:val="0078607A"/>
    <w:rsid w:val="007868BD"/>
    <w:rsid w:val="00787957"/>
    <w:rsid w:val="00787B3A"/>
    <w:rsid w:val="00790777"/>
    <w:rsid w:val="007914BD"/>
    <w:rsid w:val="00791533"/>
    <w:rsid w:val="00791CB3"/>
    <w:rsid w:val="00791CC2"/>
    <w:rsid w:val="007925B8"/>
    <w:rsid w:val="00793E0A"/>
    <w:rsid w:val="0079405F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38A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0EE1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A0E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0CF7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05C2"/>
    <w:rsid w:val="008E3907"/>
    <w:rsid w:val="008E4789"/>
    <w:rsid w:val="008E4A06"/>
    <w:rsid w:val="008E5040"/>
    <w:rsid w:val="008E5091"/>
    <w:rsid w:val="008E645D"/>
    <w:rsid w:val="008E6772"/>
    <w:rsid w:val="008E76FF"/>
    <w:rsid w:val="008E7A78"/>
    <w:rsid w:val="008E7D21"/>
    <w:rsid w:val="008E7E72"/>
    <w:rsid w:val="008F00CB"/>
    <w:rsid w:val="008F0688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4E32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5B1E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11E"/>
    <w:rsid w:val="00A13FC7"/>
    <w:rsid w:val="00A15635"/>
    <w:rsid w:val="00A15FCB"/>
    <w:rsid w:val="00A16423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12B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58D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C83"/>
    <w:rsid w:val="00AE5E2D"/>
    <w:rsid w:val="00AE6166"/>
    <w:rsid w:val="00AE61BD"/>
    <w:rsid w:val="00AE7678"/>
    <w:rsid w:val="00AE7DEF"/>
    <w:rsid w:val="00AF067F"/>
    <w:rsid w:val="00AF0B5E"/>
    <w:rsid w:val="00AF0F17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D19"/>
    <w:rsid w:val="00B24FF7"/>
    <w:rsid w:val="00B2541A"/>
    <w:rsid w:val="00B25876"/>
    <w:rsid w:val="00B25C4C"/>
    <w:rsid w:val="00B25E2F"/>
    <w:rsid w:val="00B27BFD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51D8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603A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03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7B8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3FBC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6A8A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24FF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196F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02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849C-0960-4FC5-949B-8894BD7D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12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35</cp:revision>
  <cp:lastPrinted>2019-10-20T23:03:00Z</cp:lastPrinted>
  <dcterms:created xsi:type="dcterms:W3CDTF">2017-02-07T22:21:00Z</dcterms:created>
  <dcterms:modified xsi:type="dcterms:W3CDTF">2019-11-19T23:11:00Z</dcterms:modified>
</cp:coreProperties>
</file>